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9A" w:rsidRPr="00B82BBC" w:rsidRDefault="00A8199A" w:rsidP="007B2A6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A8199A" w:rsidRPr="00B82BBC" w:rsidTr="00A8199A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77790" w:rsidRPr="00B82BBC" w:rsidTr="00A8199A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99A" w:rsidRPr="00B82BBC" w:rsidRDefault="00A8199A" w:rsidP="00AE317D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A8199A" w:rsidRDefault="00A8199A" w:rsidP="00AE317D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B82BBC" w:rsidRPr="001120FC" w:rsidRDefault="00B82BBC" w:rsidP="00AE317D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8199A" w:rsidRPr="001120F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1120FC" w:rsidRDefault="00A8199A" w:rsidP="00AE317D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77790" w:rsidRPr="00B82BBC" w:rsidTr="00A8199A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199A" w:rsidRPr="001120F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8199A" w:rsidRPr="001120F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1120F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77790" w:rsidRPr="00B82BBC" w:rsidTr="00A8199A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A8199A" w:rsidP="00A8199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A8199A" w:rsidRPr="00B82BBC" w:rsidRDefault="00A8199A" w:rsidP="00A8199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A8199A" w:rsidRPr="00B82BBC" w:rsidRDefault="00A8199A" w:rsidP="00AE317D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99A" w:rsidRPr="00B82BBC" w:rsidRDefault="001120FC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BB28A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="00B05B8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/11</w:t>
            </w:r>
            <w:r w:rsidR="00A7779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77790" w:rsidRPr="00B82BBC" w:rsidTr="00A8199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9A" w:rsidRPr="00B82BBC" w:rsidRDefault="00A8199A" w:rsidP="00A8199A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A77790" w:rsidRPr="00B82BBC" w:rsidTr="00A8199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99A" w:rsidRPr="00B82BBC" w:rsidRDefault="00A8199A" w:rsidP="00A8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05B88" w:rsidRDefault="00A8199A" w:rsidP="007543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B28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 Ν</w:t>
      </w:r>
      <w:r w:rsidR="00C147F7" w:rsidRPr="00BB28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Α Κ Ο Ι Ν Ω Σ </w:t>
      </w:r>
      <w:r w:rsidR="00B05B88" w:rsidRPr="00BB28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</w:t>
      </w:r>
    </w:p>
    <w:p w:rsidR="009B2C78" w:rsidRDefault="009B2C78" w:rsidP="007543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ΔΗΛΩΣΗΣ ΜΑΘΗΜΑΤΩΝ</w:t>
      </w:r>
    </w:p>
    <w:p w:rsidR="008E214D" w:rsidRPr="00B82BBC" w:rsidRDefault="00C147F7" w:rsidP="007543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8E214D" w:rsidRPr="00B82BBC" w:rsidRDefault="00C147F7" w:rsidP="0075435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</w:t>
      </w:r>
      <w:r w:rsidR="00163F56"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 ΕΙΣΑΧΘΕΙ ΣΤΗ ΝΟΜΙΚΗ ΣΧΟΛΗ</w:t>
      </w:r>
      <w:r w:rsidR="00AE317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05B8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ΠΡΙΝ </w:t>
      </w: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2015-2016</w:t>
      </w:r>
    </w:p>
    <w:p w:rsidR="00A8199A" w:rsidRPr="00B82BBC" w:rsidRDefault="00A8199A" w:rsidP="00A8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214D" w:rsidRPr="00B82BBC" w:rsidRDefault="008E214D" w:rsidP="00A8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E214D" w:rsidRPr="00B82BBC" w:rsidRDefault="008437EF" w:rsidP="008E2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Καλούνται</w:t>
      </w:r>
      <w:r w:rsidR="008E214D"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οι </w:t>
      </w:r>
      <w:r w:rsidR="00DA1582"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παραπάνω </w:t>
      </w:r>
      <w:r w:rsidR="008E214D"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φοιτητές να υποβάλουν </w:t>
      </w:r>
      <w:r w:rsidR="008E214D"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="008E214D"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8E214D" w:rsidRPr="00B82BBC" w:rsidRDefault="008E214D" w:rsidP="00A8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4C79" w:rsidRPr="00B82BBC" w:rsidRDefault="008E214D" w:rsidP="001B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Οι δηλώσεις υποβάλλονται ηλεκτρονικά από</w:t>
      </w:r>
    </w:p>
    <w:p w:rsidR="008E214D" w:rsidRPr="00B82BBC" w:rsidRDefault="00B05B88" w:rsidP="001B4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B28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11.11</w:t>
      </w:r>
      <w:r w:rsidR="00163F56" w:rsidRPr="00BB28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.2020 έως και  </w:t>
      </w:r>
      <w:r w:rsidR="000E34A0" w:rsidRPr="00BB28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20</w:t>
      </w:r>
      <w:r w:rsidR="008E4C42" w:rsidRPr="00BB28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.11</w:t>
      </w:r>
      <w:r w:rsidR="00163F56" w:rsidRPr="00BB28A2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.2020</w:t>
      </w:r>
    </w:p>
    <w:p w:rsidR="008E214D" w:rsidRPr="00B82BBC" w:rsidRDefault="008E214D" w:rsidP="00A81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8450B" w:rsidRPr="00B82BBC" w:rsidRDefault="00754967" w:rsidP="004F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03607B" w:rsidRPr="00B82BBC" w:rsidRDefault="0003607B" w:rsidP="004F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790" w:rsidRPr="00B82BBC" w:rsidRDefault="00A77790" w:rsidP="004F4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2A" w:rsidRDefault="00A5172A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 μέγιστος αριθμός των επιτρεπόμενων για δήλωση μαθημάτων για όλους τους φοιτητές είναι είκοσι (20).</w:t>
      </w:r>
    </w:p>
    <w:p w:rsidR="00A5172A" w:rsidRDefault="00A5172A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Ηλεκτρονική δήλωση μαθημάτων υποβάλλουν μόνοι όσοι έχουν εγγραφεί στο Τμήμα Νομικής από το 1993 και μετά καθώς και τυχόν παλαιότεροι, αυτοί όμως μόνο εφόσον</w:t>
      </w:r>
      <w:r w:rsidR="00711B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έχουν ενταχθεί, μετά από αίτησή τους, στο νέο πρόγραμμα σπουδών.</w:t>
      </w:r>
    </w:p>
    <w:p w:rsidR="00A5172A" w:rsidRDefault="00711B82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Κατά τα λοιπά, φοιτητές που έχουν εγγραφεί πριν το 1993 υποβάλλουν δήλωση μαθημάτων </w:t>
      </w:r>
      <w:r w:rsidR="000E3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αποστέλλοντας  την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στη γραμματεία της σχολής κατά τις ίδιες ημέρες μέσω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711B82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0E3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" w:history="1"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info</w:t>
        </w:r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</w:rPr>
          <w:t>@</w:t>
        </w:r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law</w:t>
        </w:r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auth</w:t>
        </w:r>
        <w:proofErr w:type="spellEnd"/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</w:rPr>
          <w:t>.</w:t>
        </w:r>
        <w:r w:rsidRPr="001C5A1F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με τα στοιχεία του φοιτητή (ονοματεπώνυμο, ΑΕΜ).</w:t>
      </w:r>
    </w:p>
    <w:p w:rsidR="00711B82" w:rsidRDefault="00711B82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να δηλωθούν για εξέταση μόνο τα μαθήματα που διδάσκονται κατά το Χειμερινό εξάμηνο του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ακαδ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Έτους 2020-2021 είτε είναι υποχρεωτικά είτε επιλογής. Εξαιρούνται όλες οι Συνθέσεις που, μπορούν να δηλωθούν αφού διδάσκονται και εξετάζονται σε όλα τα εξάμηνα όπως </w:t>
      </w:r>
      <w:r w:rsidR="006042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και το μάθημα της Ποινικής Δικονομίας (Στ εξάμηνο) το οποίο όμως </w:t>
      </w:r>
      <w:r w:rsidR="006042D2" w:rsidRPr="006042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μόνο εξετάζεται</w:t>
      </w:r>
      <w:r w:rsidR="006042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στην εξεταστική Ιανουαρίου .</w:t>
      </w:r>
    </w:p>
    <w:p w:rsidR="000E34A0" w:rsidRDefault="00FB6542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4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Υπενθυμίζεται ότι από τα 13 μαθήματα επιλογής που απαιτούνται συνολικά για τη λήψη πτυχίου, τα 4 πρέπει οπωσδήποτε να είναι από οποιεσδήποτε διαφορετικές ενότητες  είτε μαθημάτων ειδικής επιλογής του παλαιού </w:t>
      </w:r>
      <w:r w:rsidRPr="000E34A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προγράμματος είτε περιορισμένης επιλογής (ΠΕ) του νέου προγράμματος είτε από συνδυασμό και των δύο. </w:t>
      </w:r>
    </w:p>
    <w:p w:rsidR="005F3AAB" w:rsidRPr="000E34A0" w:rsidRDefault="005F3AAB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34A0">
        <w:rPr>
          <w:rFonts w:ascii="Times New Roman" w:hAnsi="Times New Roman" w:cs="Times New Roman"/>
          <w:bCs/>
          <w:color w:val="000000"/>
          <w:sz w:val="24"/>
          <w:szCs w:val="24"/>
        </w:rPr>
        <w:t>Μπορείτε να ξαναμπείτε και να αλλάξετε τη δήλωσή σας μόνο κατά την π</w:t>
      </w:r>
      <w:r w:rsidR="000E34A0">
        <w:rPr>
          <w:rFonts w:ascii="Times New Roman" w:hAnsi="Times New Roman" w:cs="Times New Roman"/>
          <w:bCs/>
          <w:color w:val="000000"/>
          <w:sz w:val="24"/>
          <w:szCs w:val="24"/>
        </w:rPr>
        <w:t>ερίοδο των δηλώσεων. Μετά τις 20</w:t>
      </w:r>
      <w:r w:rsidRPr="000E34A0">
        <w:rPr>
          <w:rFonts w:ascii="Times New Roman" w:hAnsi="Times New Roman" w:cs="Times New Roman"/>
          <w:bCs/>
          <w:color w:val="000000"/>
          <w:sz w:val="24"/>
          <w:szCs w:val="24"/>
        </w:rPr>
        <w:t>.11.2020 δεν θα υπάρχει αυτή η δυνατότητα.</w:t>
      </w:r>
    </w:p>
    <w:p w:rsidR="00B86508" w:rsidRDefault="00B12E98" w:rsidP="00FE65B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 w:rsid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</w:t>
      </w:r>
      <w:r w:rsid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 w:rsid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proofErr w:type="spellStart"/>
      <w:r w:rsid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printscreen</w:t>
      </w:r>
      <w:proofErr w:type="spellEnd"/>
      <w:r w:rsidR="00B93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bookmarkStart w:id="0" w:name="_GoBack"/>
      <w:bookmarkEnd w:id="0"/>
      <w:r w:rsid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B86508" w:rsidRPr="00B86508" w:rsidRDefault="00B86508" w:rsidP="00B86508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748B" w:rsidRPr="00B82BBC" w:rsidRDefault="0046748B" w:rsidP="007A1040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3AAB" w:rsidRDefault="005F3AAB" w:rsidP="005F3AAB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ΣΗΜΕΙΩΣΗ</w:t>
      </w:r>
      <w:r w:rsidR="0046748B"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Με βάση τον Κανονισμό Σπουδών οι φοιτητές </w:t>
      </w:r>
      <w:r w:rsidR="00AE3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του μεταβατικού προγράμματος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που  για τη λ</w:t>
      </w:r>
      <w:r w:rsidR="00AE317D">
        <w:rPr>
          <w:rFonts w:ascii="Times New Roman" w:hAnsi="Times New Roman" w:cs="Times New Roman"/>
          <w:bCs/>
          <w:color w:val="000000"/>
          <w:sz w:val="24"/>
          <w:szCs w:val="24"/>
        </w:rPr>
        <w:t>ήψη του πτυχίου τους οφείλουν έως 3</w:t>
      </w:r>
      <w:r w:rsidR="00AE317D" w:rsidRPr="00AE3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317D">
        <w:rPr>
          <w:rFonts w:ascii="Times New Roman" w:hAnsi="Times New Roman" w:cs="Times New Roman"/>
          <w:bCs/>
          <w:color w:val="000000"/>
          <w:sz w:val="24"/>
          <w:szCs w:val="24"/>
        </w:rPr>
        <w:t>μαθήματα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έχουν δικαίωμα να ζητήσουν την κατ’ εξαίρεση εξέτασή τους-κατά</w:t>
      </w:r>
      <w:r w:rsidR="00AE3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την εξεταστική Ιανουαρίου 2021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σε μαθήματα που δεν διδάσκονται στο χειμερινό εξάμηνο (εμβόλιμη)</w:t>
      </w:r>
      <w:r w:rsidR="00AE31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υποβάλλοντας σχετικό αίτημα προς το ΔΣ της Νομικής Σχολής όπου θα αναφέρεται ένας σοβαρός λόγος για τον οποίο θα  πρέπει να τελειώσουν άμεσα τις σπουδές τους.</w:t>
      </w:r>
    </w:p>
    <w:p w:rsidR="005F3AAB" w:rsidRPr="005F3AAB" w:rsidRDefault="005F3AAB" w:rsidP="005F3AAB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Λεπτομέρειες για την υποβολή αυτών των αιτήσεων θα ανακοινωθούν αρχές Δεκεμβρίου.</w:t>
      </w:r>
    </w:p>
    <w:p w:rsidR="00B12E98" w:rsidRDefault="00B12E98" w:rsidP="00B12E98">
      <w:pPr>
        <w:pStyle w:val="a4"/>
        <w:ind w:left="7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7790" w:rsidRPr="00B82BBC" w:rsidRDefault="00A77790" w:rsidP="00B12E98">
      <w:pPr>
        <w:pStyle w:val="a4"/>
        <w:ind w:left="7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99A" w:rsidRPr="00B82BBC" w:rsidRDefault="00A8199A" w:rsidP="00A8199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</w:p>
    <w:p w:rsidR="00A8199A" w:rsidRPr="00B82BBC" w:rsidRDefault="00A8199A" w:rsidP="007B2A65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8199A" w:rsidRPr="00B82BBC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83"/>
    <w:multiLevelType w:val="hybridMultilevel"/>
    <w:tmpl w:val="1254A4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66CE3043"/>
    <w:multiLevelType w:val="hybridMultilevel"/>
    <w:tmpl w:val="4EA0D6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7618"/>
    <w:multiLevelType w:val="hybridMultilevel"/>
    <w:tmpl w:val="D236D882"/>
    <w:lvl w:ilvl="0" w:tplc="A47E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5"/>
    <w:rsid w:val="000144DD"/>
    <w:rsid w:val="0001792C"/>
    <w:rsid w:val="0003607B"/>
    <w:rsid w:val="00036F60"/>
    <w:rsid w:val="00043B16"/>
    <w:rsid w:val="00077D29"/>
    <w:rsid w:val="00082303"/>
    <w:rsid w:val="00085D5F"/>
    <w:rsid w:val="0008657F"/>
    <w:rsid w:val="00087513"/>
    <w:rsid w:val="00090CB1"/>
    <w:rsid w:val="00093F9A"/>
    <w:rsid w:val="000B58F2"/>
    <w:rsid w:val="000E34A0"/>
    <w:rsid w:val="001120FC"/>
    <w:rsid w:val="00113FDD"/>
    <w:rsid w:val="00133951"/>
    <w:rsid w:val="00163F56"/>
    <w:rsid w:val="001B4C79"/>
    <w:rsid w:val="001D7387"/>
    <w:rsid w:val="002065EF"/>
    <w:rsid w:val="00222F63"/>
    <w:rsid w:val="002419C2"/>
    <w:rsid w:val="002A3334"/>
    <w:rsid w:val="002A7269"/>
    <w:rsid w:val="002A72EF"/>
    <w:rsid w:val="002A7E30"/>
    <w:rsid w:val="002B27BA"/>
    <w:rsid w:val="002E3BC8"/>
    <w:rsid w:val="002F221D"/>
    <w:rsid w:val="00324E2A"/>
    <w:rsid w:val="00351266"/>
    <w:rsid w:val="003B680A"/>
    <w:rsid w:val="00402D5F"/>
    <w:rsid w:val="00407E5D"/>
    <w:rsid w:val="004205A0"/>
    <w:rsid w:val="00423899"/>
    <w:rsid w:val="004570AE"/>
    <w:rsid w:val="00466E47"/>
    <w:rsid w:val="0046748B"/>
    <w:rsid w:val="00482BBE"/>
    <w:rsid w:val="004C16DE"/>
    <w:rsid w:val="004C39CA"/>
    <w:rsid w:val="004D1011"/>
    <w:rsid w:val="004E6F3E"/>
    <w:rsid w:val="004F4FFC"/>
    <w:rsid w:val="005234D8"/>
    <w:rsid w:val="00560BFD"/>
    <w:rsid w:val="0056732A"/>
    <w:rsid w:val="00570289"/>
    <w:rsid w:val="00581C09"/>
    <w:rsid w:val="005956ED"/>
    <w:rsid w:val="0059706C"/>
    <w:rsid w:val="005F3AAB"/>
    <w:rsid w:val="006042D2"/>
    <w:rsid w:val="00606AD0"/>
    <w:rsid w:val="00621579"/>
    <w:rsid w:val="00662791"/>
    <w:rsid w:val="00676988"/>
    <w:rsid w:val="006F2EC6"/>
    <w:rsid w:val="007003BD"/>
    <w:rsid w:val="00704BEB"/>
    <w:rsid w:val="00711B82"/>
    <w:rsid w:val="0075435C"/>
    <w:rsid w:val="00754967"/>
    <w:rsid w:val="007863B8"/>
    <w:rsid w:val="007A1040"/>
    <w:rsid w:val="007B2A65"/>
    <w:rsid w:val="007B56A8"/>
    <w:rsid w:val="007D3D5D"/>
    <w:rsid w:val="008437EF"/>
    <w:rsid w:val="00850C48"/>
    <w:rsid w:val="008571E7"/>
    <w:rsid w:val="00861519"/>
    <w:rsid w:val="0087159E"/>
    <w:rsid w:val="0088450B"/>
    <w:rsid w:val="00892B84"/>
    <w:rsid w:val="008A22EE"/>
    <w:rsid w:val="008C31C3"/>
    <w:rsid w:val="008E214D"/>
    <w:rsid w:val="008E4C42"/>
    <w:rsid w:val="008F4C78"/>
    <w:rsid w:val="00901846"/>
    <w:rsid w:val="00913317"/>
    <w:rsid w:val="00934152"/>
    <w:rsid w:val="0098597C"/>
    <w:rsid w:val="00992EAB"/>
    <w:rsid w:val="00996D03"/>
    <w:rsid w:val="009B2C78"/>
    <w:rsid w:val="009D4F7C"/>
    <w:rsid w:val="00A5172A"/>
    <w:rsid w:val="00A77790"/>
    <w:rsid w:val="00A8199A"/>
    <w:rsid w:val="00A86C63"/>
    <w:rsid w:val="00AA6B62"/>
    <w:rsid w:val="00AB1F3B"/>
    <w:rsid w:val="00AC63A1"/>
    <w:rsid w:val="00AE317D"/>
    <w:rsid w:val="00B05B88"/>
    <w:rsid w:val="00B12E98"/>
    <w:rsid w:val="00B534C5"/>
    <w:rsid w:val="00B728ED"/>
    <w:rsid w:val="00B82BBC"/>
    <w:rsid w:val="00B86508"/>
    <w:rsid w:val="00B934FE"/>
    <w:rsid w:val="00B97488"/>
    <w:rsid w:val="00BA4145"/>
    <w:rsid w:val="00BB28A2"/>
    <w:rsid w:val="00BD10E0"/>
    <w:rsid w:val="00BD273A"/>
    <w:rsid w:val="00BE4AE9"/>
    <w:rsid w:val="00C147F7"/>
    <w:rsid w:val="00C16EDD"/>
    <w:rsid w:val="00C22458"/>
    <w:rsid w:val="00C30345"/>
    <w:rsid w:val="00C54D8F"/>
    <w:rsid w:val="00C55240"/>
    <w:rsid w:val="00C91F59"/>
    <w:rsid w:val="00CA259C"/>
    <w:rsid w:val="00CA7EF3"/>
    <w:rsid w:val="00CB0DEC"/>
    <w:rsid w:val="00CE2A30"/>
    <w:rsid w:val="00D137C0"/>
    <w:rsid w:val="00D31A0D"/>
    <w:rsid w:val="00DA1582"/>
    <w:rsid w:val="00DD5468"/>
    <w:rsid w:val="00E148CA"/>
    <w:rsid w:val="00E24958"/>
    <w:rsid w:val="00E30D24"/>
    <w:rsid w:val="00E618F6"/>
    <w:rsid w:val="00E8389B"/>
    <w:rsid w:val="00E970A3"/>
    <w:rsid w:val="00EC2F3F"/>
    <w:rsid w:val="00ED1C9B"/>
    <w:rsid w:val="00ED5880"/>
    <w:rsid w:val="00EE1CF5"/>
    <w:rsid w:val="00EE4F7D"/>
    <w:rsid w:val="00EF1CB3"/>
    <w:rsid w:val="00EF416A"/>
    <w:rsid w:val="00F13545"/>
    <w:rsid w:val="00F34C9C"/>
    <w:rsid w:val="00F54EDE"/>
    <w:rsid w:val="00F61D06"/>
    <w:rsid w:val="00F96932"/>
    <w:rsid w:val="00F96F1B"/>
    <w:rsid w:val="00FA34F5"/>
    <w:rsid w:val="00FB07CF"/>
    <w:rsid w:val="00FB0F7F"/>
    <w:rsid w:val="00FB6542"/>
    <w:rsid w:val="00FC09DA"/>
    <w:rsid w:val="00FC2527"/>
    <w:rsid w:val="00FD4641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997"/>
  <w15:docId w15:val="{A0961D11-D826-4D5B-B829-A5B03E7F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99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845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1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aw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853-7D55-478B-AAA8-B65456FF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Pinelopi Mpaxevani</dc:creator>
  <cp:lastModifiedBy>user</cp:lastModifiedBy>
  <cp:revision>5</cp:revision>
  <cp:lastPrinted>2020-11-04T12:33:00Z</cp:lastPrinted>
  <dcterms:created xsi:type="dcterms:W3CDTF">2020-11-04T12:34:00Z</dcterms:created>
  <dcterms:modified xsi:type="dcterms:W3CDTF">2020-11-04T12:37:00Z</dcterms:modified>
</cp:coreProperties>
</file>